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7CB5" w14:textId="77777777" w:rsidR="002919E8" w:rsidRDefault="002919E8" w:rsidP="002919E8">
      <w:pPr>
        <w:keepNext/>
        <w:keepLines/>
        <w:spacing w:after="111"/>
        <w:ind w:left="637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BAB I </w:t>
      </w:r>
    </w:p>
    <w:p w14:paraId="2018BFEF" w14:textId="7F7DC30D" w:rsidR="002919E8" w:rsidRDefault="002919E8" w:rsidP="002919E8">
      <w:pPr>
        <w:keepNext/>
        <w:keepLines/>
        <w:spacing w:after="111"/>
        <w:ind w:left="637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AKUNTANSI MERUPAKAN BAHASA BISNIS</w:t>
      </w:r>
    </w:p>
    <w:p w14:paraId="47A9CDAF" w14:textId="2B380B5D" w:rsidR="002919E8" w:rsidRPr="002919E8" w:rsidRDefault="002919E8" w:rsidP="002919E8">
      <w:pPr>
        <w:keepNext/>
        <w:keepLines/>
        <w:spacing w:after="111"/>
        <w:ind w:left="637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PENDAHULUAN </w:t>
      </w:r>
    </w:p>
    <w:p w14:paraId="58447D94" w14:textId="77777777" w:rsidR="002919E8" w:rsidRPr="002919E8" w:rsidRDefault="002919E8" w:rsidP="002919E8">
      <w:pPr>
        <w:spacing w:after="115"/>
        <w:ind w:left="632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569269C9" w14:textId="77777777" w:rsidR="002919E8" w:rsidRPr="002919E8" w:rsidRDefault="002919E8" w:rsidP="002919E8">
      <w:pPr>
        <w:spacing w:after="4" w:line="367" w:lineRule="auto"/>
        <w:ind w:left="64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AKUNTANSI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embrionya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muncul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Itali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abad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ke-14 dan ke15 (Kam, 1986). Dari Itali,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seluruh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dunia.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penyebarannya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berinteraksi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lingkungan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timbul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mengglobalnya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investasi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besar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perhatian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dimensi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lazim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49F127C0" w14:textId="77777777" w:rsidR="002919E8" w:rsidRPr="002919E8" w:rsidRDefault="002919E8" w:rsidP="002919E8">
      <w:pPr>
        <w:spacing w:after="120"/>
        <w:ind w:left="632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438EC186" w14:textId="77777777" w:rsidR="002919E8" w:rsidRPr="002919E8" w:rsidRDefault="002919E8" w:rsidP="002919E8">
      <w:pPr>
        <w:keepNext/>
        <w:keepLines/>
        <w:spacing w:after="112"/>
        <w:ind w:left="627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A. 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:</w:t>
      </w:r>
      <w:proofErr w:type="gram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Bahasa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56A3042D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dipandang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aspek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system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tipe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system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infromasi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pemrosesan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data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bermanfaat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pengambilan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keputusan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lain.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tipe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siapa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dibutuhkan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membahas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tipe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46E40BA9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Dilihat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perspektif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pelaksana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menyampaikan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entitas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usaha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kegiatan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Dilihat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perspektif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entitas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usaha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kegiatan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Dilihat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perspektif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diperoleh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dibutuhkan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Jadi,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Bahasa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dipelajari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;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demikian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pula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perlu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dipelajari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agar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pihak-pihak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berkepentingan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35A04004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Agar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berperan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memenuhi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kriteria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:</w:t>
      </w:r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ambigu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kosakata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termin-termin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mencukupi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mengkomunikasi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substansi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disampaikan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pihak-pihak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membutuhkan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Tidak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ambigu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mengandung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makna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persepsi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subtansi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dilaporkan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penyusun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disajikan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menyusun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saja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belajar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melainkan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 </w:t>
      </w:r>
    </w:p>
    <w:p w14:paraId="5FC4A953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mempelajari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mempelajari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dipersulit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kenyataan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kosakata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arti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hampir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tetapi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sepenuhnya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arti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kosakata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arti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hampir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tetapi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sepenuhnya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arti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kosakata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sehari-hari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problem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pembelajaran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orang Amerika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belajar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orang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contoh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orang Amerika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menyeput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grain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gandum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orang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menyebutnya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corn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; dan orang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corn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oleh orang Amerika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maize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(Anthony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dkk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1995) </w:t>
      </w:r>
    </w:p>
    <w:p w14:paraId="16A0C71F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Demikian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sejumlah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kata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arti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sehari-hari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Ini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ilmu-ilmu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lain.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Penyebabnya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ilmu-ilmu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membahas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pengertian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konsep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rinci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daripada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sehari-hari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kosakata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sehari-hari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mencukupi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dikomunikasikan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penegrtian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konsep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timbul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istilah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teksni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istilah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pengertian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tersendiri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ilmu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termasuk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pengertian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sehari-hari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Contoh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jumlah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nilai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(net worth)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muncul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Menurut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logika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umum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arti kata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jumlah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mengacu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nilai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Tetapi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interpretasi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sepenuhnya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kesalahpahaman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timbul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jika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istilah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nilai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Contoh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besar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harafiah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arti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pengertian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menurut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pengertiannya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ledger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large book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 </w:t>
      </w:r>
    </w:p>
    <w:p w14:paraId="3103AE4E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menyerupai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sejumlah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aturan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bersifat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definitif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lain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bagaimana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peristiwa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tertentu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dilaporkan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ahli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gramatika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tentang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struktur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kalimay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pemberian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tanda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baca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pemilihan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kata.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Demikian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sebagaimana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banyaknya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orang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lemah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demikian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pula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orang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lemah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7542A918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Bahasa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berkembang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sesuai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perkembangan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kebutuhan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masyarakat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Bahasa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primitif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relatif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kosakata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benar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subtansi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dikomunikasikan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relative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sedikit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kosakata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kompleks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pula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gramatikanya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Demikian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pula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berkembang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dunia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kompleks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substansi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dilaporkan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besar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pula terminology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kompleks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dibutuhkan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Dan dunia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berkembang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ditandai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mengglobalnya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transaksi-transaksibisnis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195DF7DB" w14:textId="77777777" w:rsidR="002919E8" w:rsidRPr="002919E8" w:rsidRDefault="002919E8" w:rsidP="002919E8">
      <w:pPr>
        <w:spacing w:after="120"/>
        <w:ind w:left="1625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44FA4308" w14:textId="77777777" w:rsidR="002919E8" w:rsidRPr="002919E8" w:rsidRDefault="002919E8" w:rsidP="002919E8">
      <w:pPr>
        <w:keepNext/>
        <w:keepLines/>
        <w:spacing w:after="112"/>
        <w:ind w:left="627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B.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4FEA65C5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awal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kemunculannya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sederhana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sumber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terutama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dagang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tetapi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terutama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kegiatan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pemerolehan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pelepasan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barang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dagangan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Ini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dunia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belum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begitu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berkembang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data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(input)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sistem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relatif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sederhana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akses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besar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privat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proses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penyusunan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intepretasi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mudah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walaupun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mendasari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penyusunan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sistem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memampukan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dagang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mengendalikan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operasinya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(Scott, 2012). </w:t>
      </w:r>
    </w:p>
    <w:p w14:paraId="6E4F0490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Perkembangan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selanjutnya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diwarnai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pemisahan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fungsi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kepemilikan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fungsi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pengelolaan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mulai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2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kelompok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pihak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pihak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eksternal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lain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terdiri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investor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kreditor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akses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proses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penyusunan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privat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sedangkan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lain,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eksternal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akses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akses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penyusunan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privat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pengertian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disajikan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686F0BE2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 xml:space="preserve">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samping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tujuan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tujuan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eksternal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sehubungan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fungsi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manajerialnya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;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sedangkan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eksternal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menggunakannya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sesuai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kepentingannya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masingmasing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terkait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fungsi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Investor,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misalnya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penahanan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pelepasan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pemerolehan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saham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timbul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2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tipe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memenuhi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kebutuhan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infromasi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melaksanakan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fungsi-fungsi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perencanaan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pengendalian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pengambilan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keputusan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terkait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operasi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memenuhi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kebutuhan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eksternal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terkait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bersangkutan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0727DBCF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Masing-masing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tipe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karakteristik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Salah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agar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infromasi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dihasilkan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bias dan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ambigu.bias</w:t>
      </w:r>
      <w:proofErr w:type="spellEnd"/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berarti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ketidaksesuaian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substansinya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;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ambigu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berate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infromasi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makna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ganda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dasar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pengambilan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keputusan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akses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ibilitas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Ketidaan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akses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pihak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eksternal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validitas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menajdi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persoalan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Hal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diperlukannya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Mungkin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awalnya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sederhana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saja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sudah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membantu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interpretasi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tunggal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tunggal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Tetapi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kompleksitas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dunia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kompleks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pula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dipengaruhi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factorfaktor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lingkungan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berbeda-beda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berbeda-beda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lingkungan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berbeda-beda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masing-masing negara.  </w:t>
      </w:r>
    </w:p>
    <w:p w14:paraId="1F284D99" w14:textId="77777777" w:rsidR="002919E8" w:rsidRPr="002919E8" w:rsidRDefault="002919E8" w:rsidP="002919E8">
      <w:pPr>
        <w:spacing w:after="117"/>
        <w:ind w:left="992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68359F4D" w14:textId="77777777" w:rsidR="002919E8" w:rsidRPr="002919E8" w:rsidRDefault="002919E8" w:rsidP="002919E8">
      <w:pPr>
        <w:keepNext/>
        <w:keepLines/>
        <w:spacing w:after="112"/>
        <w:ind w:left="627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C.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Perkembangan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6C2D3A11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Kam (1968)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menulis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panjang-lebar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sejarah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sejarah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Pembukukan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berentri-ganda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(double-entry bookkeeping), yang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umumnya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diyakini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embrio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dikenal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sekarang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berasal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kota-kota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Itali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abad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ke-13 dan ke-15 yang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kota-kota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pusatpusat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perdagangan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Pada masa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1494,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terbit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pertama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kali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membahas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pembukuan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berayat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ganda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ditulis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Luca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Pacioli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Summa de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Arithmatica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Geometria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Proportioni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et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Proportionalita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sangat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berpengaruh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penyebaran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pembukuan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berayat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ganda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seluruh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dunia. </w:t>
      </w:r>
    </w:p>
    <w:p w14:paraId="1E198A00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Dari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kota-kota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Jerman, Belanda,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Prancis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Di Jerman,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membantu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pedagang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Di Belanda,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filsuf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berupaya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menyempurnakan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penghitungan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periodic.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Prancis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pejabat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pemerintah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menerapkannya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perencanaan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akuntablitas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pemerintah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mengelola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mengendalikan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perusahaan-perusahaan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daerahdaerah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colonial, dan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menyediakan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catatan-catatan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kepentingan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review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verifikasi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Terlihat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mengalami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perkembangan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timbul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54CFE429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Praktik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berubah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sesuai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kebutuhan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penerima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pencari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Sebelum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Perang Dunia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Kedua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pengaruh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mendominasi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seluruh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pengaruh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Prancis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-Jerman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menembus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Negara-negara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menerapkan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hukum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undang-undang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(code law)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Belgia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Jepang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Swedia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Swiss. </w:t>
      </w:r>
    </w:p>
    <w:p w14:paraId="4670E1A5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Sampai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awal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1990-an, AS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kekuatan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paling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gemilang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global. AS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Negara-negara lain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pengeluaran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riset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jumlah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publikasi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lulusan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perguruan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memiliki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konsentrasi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sampai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doctoral.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Mahasiswanya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saja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melainkan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termasuk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Indonesia.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Namun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demikian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Negara-negara lain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berhasrat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mengaadopsi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sepenuhnya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standar-standar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prinsip-prinsip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AS.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Alasannya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cocok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diterapkan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Negara-negara lain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factor-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faktor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social,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politik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sampai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awal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1990-an,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substansial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cirri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iklim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akuntasni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dunia. </w:t>
      </w:r>
    </w:p>
    <w:p w14:paraId="738D4E3B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Dilihat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perspektif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dana,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menginformasikan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kondisi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pihak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tujuan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memproleh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dana;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terutama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kreditor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investor,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membutuhkan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rangka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penentuan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kepada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mana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menginvstasikan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uangnya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merintangi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disadari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penyusun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maupun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Adapun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penyebabnya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rendahnya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komparabilitas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disajikan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perusahaan-perusahaan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berlainan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0EFF1EBA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rintangan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globalisasi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sudah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dirasakan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1960-an.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mengikis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organisasiorganisasi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professional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dunia,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termasuk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Indonesia,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International Accounting Standards Committee (IASC)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1973, yang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2000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direstrukturisasi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International Accounting Standards Board (IASB).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Organisasi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bertugas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mengikis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keragaman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menerbitkan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diharapkan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idealnya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diadopsi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semua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di dunia. 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upaya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lain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pernah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selain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mengikis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keragaman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penyusun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maupun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lembaga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terkait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dibahas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bab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2. </w:t>
      </w:r>
    </w:p>
    <w:p w14:paraId="6C4A919F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awalnya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standar-standar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dibuat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IASC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dipandang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bersisfat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terlalu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memenuhi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komparabilitas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diharapkan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Ini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kelemahan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besar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tujuan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didirikannya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IASC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membuat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serangkaian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menghasilkan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berfungsi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komunikatif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batas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berjalan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terlaksana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kalau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menghasikan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infromasi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komparabel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1987 IASC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merespon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kritik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Comparability Project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tujuannya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meningkatkan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komparabilitas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mengurangi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alternatif-alternatif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tersedia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standar-standar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IASC.  </w:t>
      </w:r>
    </w:p>
    <w:p w14:paraId="03C1689E" w14:textId="77777777" w:rsidR="002919E8" w:rsidRPr="002919E8" w:rsidRDefault="002919E8" w:rsidP="002919E8">
      <w:pPr>
        <w:spacing w:after="120"/>
        <w:ind w:left="1623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2DD71F96" w14:textId="77777777" w:rsidR="002919E8" w:rsidRPr="002919E8" w:rsidRDefault="002919E8" w:rsidP="002919E8">
      <w:pPr>
        <w:keepNext/>
        <w:keepLines/>
        <w:spacing w:after="112"/>
        <w:ind w:left="627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D. 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30E37B16" w14:textId="77777777" w:rsidR="002919E8" w:rsidRPr="002919E8" w:rsidRDefault="002919E8" w:rsidP="002919E8">
      <w:pPr>
        <w:spacing w:after="4" w:line="367" w:lineRule="auto"/>
        <w:ind w:left="992" w:firstLine="631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yurisdiksi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yurisdiksi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lain,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sesuai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faktor-faktor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penyebab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masing-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 xml:space="preserve">masing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yurisdiksi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Berikut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uraian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aspek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pengukuran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aspek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penentuan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modal,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periodik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1F5BA4F" w14:textId="77777777" w:rsidR="002919E8" w:rsidRPr="002919E8" w:rsidRDefault="002919E8" w:rsidP="002919E8">
      <w:pPr>
        <w:keepNext/>
        <w:keepLines/>
        <w:spacing w:after="112"/>
        <w:ind w:left="1002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1.</w:t>
      </w:r>
      <w:r w:rsidRPr="002919E8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Pengukuran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Aset dan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6AF92ED4" w14:textId="77777777" w:rsidR="002919E8" w:rsidRPr="002919E8" w:rsidRDefault="002919E8" w:rsidP="002919E8">
      <w:pPr>
        <w:spacing w:after="4" w:line="367" w:lineRule="auto"/>
        <w:ind w:left="133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Dalam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pengukuran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dan 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dasar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pengukuran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sumber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diukur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mengukur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besar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asset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dasar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kos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historis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hystorical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costs).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Namun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konsep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pengukuran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diaplikasi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murni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pengukuran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kemudian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pengukurn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berikutnya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),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teknik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penilaian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pasar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sekarang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(current market),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teknik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penyesuaian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perubahan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khusus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umum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perhitungan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bunga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terkait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estimasi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transaksi-transaksi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masa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depan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terutama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valas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penagihan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piutang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masa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depan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Aplikasi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pengukuran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kos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sekarang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(current cost)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mungkin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segera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menggantikan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paling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mendominasi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kos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historis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hystorical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costs)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praktik-praktik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dilihat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awal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abad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international financial reporting standards (IFRS)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diterbitkan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IASB. IFRS,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nilai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wajar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(fair value),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menggusur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pilihan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PABU AS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nayak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kos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historis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74867BD1" w14:textId="77777777" w:rsidR="002919E8" w:rsidRPr="002919E8" w:rsidRDefault="002919E8" w:rsidP="002919E8">
      <w:pPr>
        <w:spacing w:after="4" w:line="367" w:lineRule="auto"/>
        <w:ind w:left="133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Istilah asset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aktiva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memiliki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arti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pasti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pengertian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sumber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mana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dikeluarkan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batasan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Ketidak-pastian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meliputi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interpretasi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berwujud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goodwill, dan kos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riset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pengembangan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( R</w:t>
      </w:r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 costs). Di Amerika Selatan,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definisi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termasuk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kerugian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timbul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memiliki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utang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valuta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Di negara-negara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Eropa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Kontinental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mungkin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meliputi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tipe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guna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usaha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kepemilikan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induk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perusahaan-perusahaan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afiliasi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6648E40E" w14:textId="77777777" w:rsidR="002919E8" w:rsidRPr="002919E8" w:rsidRDefault="002919E8" w:rsidP="002919E8">
      <w:pPr>
        <w:spacing w:after="4" w:line="367" w:lineRule="auto"/>
        <w:ind w:left="133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Maraknya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merger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korporasi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80-</w:t>
      </w:r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an 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menunjukkan</w:t>
      </w:r>
      <w:proofErr w:type="spellEnd"/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penjual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pembeli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korporasi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nilai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pertukaran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melebihi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nilai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historis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Ini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memperhatikan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neraca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(off-balance sheet assets),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dilaporkan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neraca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meliput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nilai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brand-name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korporasi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terkenal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misalnya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Coca Cola di AS dan BMW di Jerman), deposit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minyak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mentah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pertambahan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nilai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kayu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 xml:space="preserve">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terobosan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sistem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perangkat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lunak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Hal yang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sebaiknya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ketika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perekonomian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Eropa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Timur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tekah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diakses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binsis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Barat,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diduga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tersedia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Eropa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Timur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murah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Dugaan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terbukti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salah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setelah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mempertimbangkan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keusangan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teknik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efisiensi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sistem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produktivitas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pekerja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polusi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1561D2EB" w14:textId="77777777" w:rsidR="002919E8" w:rsidRPr="002919E8" w:rsidRDefault="002919E8" w:rsidP="002919E8">
      <w:pPr>
        <w:spacing w:after="4" w:line="367" w:lineRule="auto"/>
        <w:ind w:left="133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Demikain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juga,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konsep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diaplikasi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diaplikasi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lain.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penghasilan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contoh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Argntina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misalnya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penghasilan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diakrualkan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dicatat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berdasarkan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basis kas. Di Swiss,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pencatatan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akrual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periodik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tanpa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pengakuan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penghasilan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tangguhan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(deferred income taxes).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tangguhan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metode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alokasi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Di Belanda,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nilai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penghasilan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ditangguhkan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kadang-kadang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nilai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didiskonto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64E52F13" w14:textId="77777777" w:rsidR="002919E8" w:rsidRPr="002919E8" w:rsidRDefault="002919E8" w:rsidP="002919E8">
      <w:pPr>
        <w:spacing w:after="4" w:line="367" w:lineRule="auto"/>
        <w:ind w:left="133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Contoh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lain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ketentuan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ditemukan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mudah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Di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Eropa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Amerika </w:t>
      </w:r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Selatan ,</w:t>
      </w:r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penyisihan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semua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kerugian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diketahui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Ini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meliputi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item-item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pembayaran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pesangon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pekerja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perjanjian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pensiun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pembayaran-pembayaran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lain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pemakaman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estimasi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kerugian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komitmen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pembelian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kontrak-kontrak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masa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depan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(forward contract)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lainnya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Sebaliknya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definisi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diperluas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memasukan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cadangan-cadangan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“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rahasia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”.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Praktik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Jerman dan </w:t>
      </w:r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Swiss ,</w:t>
      </w:r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misalnya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seringkali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sengaja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estimasi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berlebihan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kontinjensi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pengaruh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ketidakpastian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masa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depan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474BE476" w14:textId="77777777" w:rsidR="002919E8" w:rsidRPr="002919E8" w:rsidRDefault="002919E8" w:rsidP="002919E8">
      <w:pPr>
        <w:spacing w:after="121"/>
        <w:ind w:left="1352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458866AC" w14:textId="77777777" w:rsidR="002919E8" w:rsidRPr="002919E8" w:rsidRDefault="002919E8" w:rsidP="002919E8">
      <w:pPr>
        <w:keepNext/>
        <w:keepLines/>
        <w:spacing w:after="112"/>
        <w:ind w:left="1002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2.</w:t>
      </w:r>
      <w:r w:rsidRPr="002919E8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Penentuan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Modal dan Laba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Periodik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1CD7AC3A" w14:textId="77777777" w:rsidR="002919E8" w:rsidRPr="002919E8" w:rsidRDefault="002919E8" w:rsidP="002919E8">
      <w:pPr>
        <w:spacing w:after="4" w:line="367" w:lineRule="auto"/>
        <w:ind w:left="1337" w:firstLine="413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Variasi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komparasi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paling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besar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area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ekuitas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pemilik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owner’s equity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pertanyaan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apakah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sumber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boleh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dihapus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langsung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kesulitasn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memisahkan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operasi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normal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kejadian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msalah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periodisitas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penyesuaian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periode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lalu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 xml:space="preserve">post period </w:t>
      </w:r>
      <w:proofErr w:type="spellStart"/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adjusments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), AS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menghendaki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semua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kecuali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inventasi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pemegang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saham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donasi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modal,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penambahan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modal,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penyesuaian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tranlasifungsional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valas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mengalir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melalui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laba-rugi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Namun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semua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non-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nmengizinkan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penyesuaian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modal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diperlakukan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langsung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keuntungan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kerugian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18F6FB73" w14:textId="77777777" w:rsidR="002919E8" w:rsidRPr="002919E8" w:rsidRDefault="002919E8" w:rsidP="002919E8">
      <w:pPr>
        <w:spacing w:after="4" w:line="367" w:lineRule="auto"/>
        <w:ind w:left="1337" w:firstLine="413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Variasi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lain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concept of periodicity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mengukur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hasil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operasi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PABU (GAAP) di AS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menghendaki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pemisahan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(cut </w:t>
      </w:r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off) 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tahunan</w:t>
      </w:r>
      <w:proofErr w:type="spellEnd"/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jelas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Tetapi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Eropa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Amerika Selatan,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prinsip-prinsip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berlaku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menganggap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kalender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periode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sangat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pendek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menentukan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hasil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memadai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Swedia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lama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daur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kali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dianggap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periode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waktu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paling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mengukur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melaporkan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hasil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operasi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56191E1A" w14:textId="77777777" w:rsidR="002919E8" w:rsidRPr="002919E8" w:rsidRDefault="002919E8" w:rsidP="002919E8">
      <w:pPr>
        <w:spacing w:after="4" w:line="367" w:lineRule="auto"/>
        <w:ind w:left="1337" w:firstLine="413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Yang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basis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penentuan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periodic. Negara-negara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berbahasa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misalnya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AS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biasanya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membuat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dilaporkan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investor,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kreditor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karyawan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pihak-pihak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ketiga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lainnya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)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dilaporkan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),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rezim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rangkap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dual reporting regime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). Karena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ketentuan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khusus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kitab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undang-undang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periode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tertentu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kali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signifikan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1CA4B58C" w14:textId="77777777" w:rsidR="002919E8" w:rsidRPr="002919E8" w:rsidRDefault="002919E8" w:rsidP="002919E8">
      <w:pPr>
        <w:spacing w:after="4" w:line="367" w:lineRule="auto"/>
        <w:ind w:left="1337" w:firstLine="413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Negara-negara 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code law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dipimpin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Prancis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Jerman,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Jepang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signifikan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laba-rugi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sebenarnya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berbasis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Fakta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jarang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diungkapkan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langsung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kesulitan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analisis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laba-rugi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75D57720" w14:textId="77777777" w:rsidR="002919E8" w:rsidRPr="002919E8" w:rsidRDefault="002919E8" w:rsidP="002919E8">
      <w:pPr>
        <w:spacing w:after="4" w:line="367" w:lineRule="auto"/>
        <w:ind w:left="1337" w:firstLine="413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Hubungan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 dan</w:t>
      </w:r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penentuan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periodik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tentu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saja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menimbulkan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efek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resiprokal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Biasanya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over statement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understatement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kewajiban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dilakasanakan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melalui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inklusi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ekslusi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laba-rugi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bersangkutan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Namun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dicatat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vasiasi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procedural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kecil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Misalnya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goodwill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dibeli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boleh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diamortisasi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AS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40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sedangkan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Jerman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maksimum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5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tahun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misalnya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Irlandia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Australia,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Inggris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Peru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Selandia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Baru, goodwill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umum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diamortisasi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sekali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Variasi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prosedular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serupa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riset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pengembangan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eksplorasi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minyak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mineral,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promosi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penjualan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pendidikan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pelatihan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kejadian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lainnya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1947FA78" w14:textId="77777777" w:rsidR="002919E8" w:rsidRPr="002919E8" w:rsidRDefault="002919E8" w:rsidP="002919E8">
      <w:pPr>
        <w:spacing w:after="112"/>
        <w:ind w:left="1764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79607A2C" w14:textId="77777777" w:rsidR="002919E8" w:rsidRPr="002919E8" w:rsidRDefault="002919E8" w:rsidP="002919E8">
      <w:pPr>
        <w:spacing w:after="0"/>
        <w:ind w:left="632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 xml:space="preserve"> </w:t>
      </w:r>
    </w:p>
    <w:p w14:paraId="053BED1D" w14:textId="77777777" w:rsidR="002919E8" w:rsidRPr="002919E8" w:rsidRDefault="002919E8" w:rsidP="002919E8">
      <w:pPr>
        <w:keepNext/>
        <w:keepLines/>
        <w:spacing w:after="112"/>
        <w:ind w:left="627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E.</w:t>
      </w:r>
      <w:r w:rsidRPr="002919E8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Peran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67042037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Peran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memengaruhi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orientasi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kandungan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dihasilkan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masing-masing negara,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selanjutnya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memengaruhi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interpretasi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penggunaan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454BE0A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pusat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proses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alokasi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sumber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pasar modal. Pasar modal domestic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mungkin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dampak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halus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tetapi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kekal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perkembangan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Tetapi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dipengaruhi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melainkan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memengaruhi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pasar modal.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tuntutan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pasar modal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dasar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pikiran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mengadopsi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tertentu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Pada sector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sekuritas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dibutuhkan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investor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pengambilan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keputusan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alokasi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sumber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miliki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620B5A3A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Pada sector non-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sekuritas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basis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keputusan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pemberian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pinjaman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institusi-institusi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kebanyakan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negara. Dalam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kaitannya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kebijakan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institusi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menuntut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peminjam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rinci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proses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pemberian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pinjaman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mengevaluasi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risiko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kredit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calon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peminjam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peminjam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lama.  </w:t>
      </w:r>
    </w:p>
    <w:p w14:paraId="68913FAE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Bukti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menunjukan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relevan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keputusan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investor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pembelian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penjualan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saham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Arti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para investor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ditunjukkan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penelitian-penelitian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banyak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negara.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setiap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kali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saham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turun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jika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reliabilitas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keandalan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diragukan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Kaitan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pasar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sekuritas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kebijakan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sangat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krusial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kurang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berkembang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berminat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meningkatkan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aliran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modal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guna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pengembangan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perkonomian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744E388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Peran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realtif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terlaksana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lingkup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berlaku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semua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Kesamaan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memudahkan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interpretasi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disajikan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memudahkan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perbandingan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komparabilitas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Dalam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perspektif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interpretasi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komparabilitas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sulit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dilaksanakan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18D9B2C6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Consensus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muncul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operasi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pasar modal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efisien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memengaruhi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pembuatan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kebijakan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level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level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Regulasi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fenomena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seluruh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dunia. Pada level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organisasi-organisasi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International </w:t>
      </w:r>
    </w:p>
    <w:p w14:paraId="72AC0BA7" w14:textId="77777777" w:rsidR="002919E8" w:rsidRPr="002919E8" w:rsidRDefault="002919E8" w:rsidP="002919E8">
      <w:pPr>
        <w:spacing w:after="4" w:line="367" w:lineRule="auto"/>
        <w:ind w:left="10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Accounting Standards Board (IASB) dan International Organization of Securities Commissions (IOSCO)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menaruh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perhatian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ketersediaan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relevan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dipercaya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transaksi-transaksi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negara.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samping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, institute-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institut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multilateral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misalnya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International Monetary Fund (IMF), Bank Dunia, dan Asian Development Bank (ADB)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berdiri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jajaran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terdepan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rekomendasi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kurang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berkembang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menyusun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sistem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kokoh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guna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meningkatkan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perkembangan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sistem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mereka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4D47E893" w14:textId="77777777" w:rsidR="002919E8" w:rsidRPr="002919E8" w:rsidRDefault="002919E8" w:rsidP="002919E8">
      <w:pPr>
        <w:spacing w:after="123"/>
        <w:ind w:left="1625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5AB22040" w14:textId="77777777" w:rsidR="002919E8" w:rsidRPr="002919E8" w:rsidRDefault="002919E8" w:rsidP="002919E8">
      <w:pPr>
        <w:keepNext/>
        <w:keepLines/>
        <w:spacing w:after="112"/>
        <w:ind w:left="627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F.</w:t>
      </w:r>
      <w:r w:rsidRPr="002919E8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Korporasi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Multinasional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Keterlibatannya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7E8C10B6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terutama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pasar modal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mengglobal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mengglobal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Perusahaan yang paling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rendah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globalisasi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utang-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piutang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valuta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valas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);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globalisasinya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paling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korporasi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multinasional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(MNC, 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multinational corporations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). MNC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terlibat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produksi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penjualan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barang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Biasanya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terdiri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induk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berlokasi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paling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sedikit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lima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enam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khas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strategis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unit-unit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(Radebaugh, 2006).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MNC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sampai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100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seluruh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dunia. </w:t>
      </w:r>
    </w:p>
    <w:p w14:paraId="5E6A11AC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Kemampuan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korporasi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faktor-faktor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produksi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tersedia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global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faktor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jauh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pembentukan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daripada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makro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Bertentrangan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postulat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Smith dan Ricardo,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eksistensi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multinasional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didasarkan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mobilitas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faktor-faktor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produksi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tertentu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Modal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muncuk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London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pasar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Eurodolar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berbasis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Swiss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mendanai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akuisisi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peralatan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Jerman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Brazil.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boneka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Barbie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dibuat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sepuluh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didesain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AS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produksi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bagian-bagiannya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Jepang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Korea, Itali, dan Taiwan,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perakitannya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Meksiko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634E18E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Karakteristik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multinasional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alokasi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sumber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terkoordinasi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global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pusat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MNC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membuat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keputusan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mengenai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strategi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menembus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pasar (</w:t>
      </w:r>
      <w:r w:rsidRPr="002919E8">
        <w:rPr>
          <w:rFonts w:ascii="Times New Roman" w:eastAsia="Times New Roman" w:hAnsi="Times New Roman" w:cs="Times New Roman"/>
          <w:i/>
          <w:color w:val="000000"/>
          <w:sz w:val="24"/>
          <w:lang w:eastAsia="en-ID"/>
        </w:rPr>
        <w:t>market entry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);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operasi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negeri;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produksi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pemasaran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pendanaan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kegiatan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pertimbangan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mana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terbaik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korporasi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keseluruhan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MNC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menekankan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kinerja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kelompok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kinerja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masing-masing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individual. Dari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perspektif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timbul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masalah-masalah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lain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terkait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transfer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perpajakan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55BDD7E8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Dari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uraian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dimengerti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MNC sangat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membutuhkan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Ini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berkaitan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penyajian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para stakeholder di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 negeri</w:t>
      </w:r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interpretasi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diperoleh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negeri,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masing-masing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persyaratan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penyajian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berbeda-beda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sesuai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karakteristik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masyarakat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lingkungan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masing-masing. </w:t>
      </w:r>
    </w:p>
    <w:p w14:paraId="6F10B885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Dari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rumitnya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dilaksanakan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MNC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diketahui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MNC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spektrum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salah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ujungnya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keterlibatan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produksi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dan/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penjualan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barang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jasa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;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ujung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lain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melakukan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valas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saja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kedua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ujung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spektrum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bentuk-bentuk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keterlibatan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lain,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:</w:t>
      </w:r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aliansi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strategis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(strategic alliance) 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investasi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langsung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6F83ACF7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Aliansi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strategis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menggambarkan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variasi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kolaborasi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arti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penting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strategis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pihak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terlibat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Aliansi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strategis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meliputi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persetujuan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pemberian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lisensi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persetujuan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waralaba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kontrak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kepemilikan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Pemilihan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aliansi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strategis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tergantung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faktor-faktor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hukum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besarnya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konpensasi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risiko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pengenalian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kompleksitas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produk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98F7A3D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keterlibatan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lainnya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investasi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langsung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ketika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memperoleh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tingkat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pengendalian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tertentu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korporasi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memengaruhi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keputusan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Pengendalian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diperoleh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melalui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kepemilikan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saham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mendirikan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baru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lokasi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negeri. Jika investor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memiliki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seluruh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saham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lokal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sepenuhnya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dimiliki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iduk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Jika dua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lebih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menjalankan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usaha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usaha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joint venture,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aliansi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strategis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lain. Joint venture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solusi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ketiadaan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ketiadaan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keahlian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manajerial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investor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bersandar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kemampuan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sekutu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lokal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00514F67" w14:textId="77777777" w:rsidR="002919E8" w:rsidRPr="002919E8" w:rsidRDefault="002919E8" w:rsidP="002919E8">
      <w:pPr>
        <w:spacing w:after="121"/>
        <w:ind w:left="632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4A5FE2B5" w14:textId="77777777" w:rsidR="002919E8" w:rsidRPr="002919E8" w:rsidRDefault="002919E8" w:rsidP="002919E8">
      <w:pPr>
        <w:keepNext/>
        <w:keepLines/>
        <w:spacing w:after="112"/>
        <w:ind w:left="627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G.</w:t>
      </w:r>
      <w:r w:rsidRPr="002919E8">
        <w:rPr>
          <w:rFonts w:ascii="Arial" w:eastAsia="Arial" w:hAnsi="Arial" w:cs="Arial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Pengertian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</w:p>
    <w:p w14:paraId="5B890DC0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Ada 2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tipe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Tujuan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menyediakan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dibutuhkan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pengambilan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keputusan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pengelolaan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Karena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mengakses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pemrosesan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Pedoman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pokok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penyajian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dipahami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relevan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pengambilan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keputusan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pengelolaan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33E1585E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memberikan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bermanfaat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pihak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eksternal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pengambilan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keputusan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Karena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pihak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eksternal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akses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proses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penyusunan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penyusunan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diperlukan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mengurangi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menghilangkan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sekali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jika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dimungkinkan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ambiguitas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disajikan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multitafsir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disajikan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Standar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mempermudah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interpretasi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 bias</w:t>
      </w:r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substansi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dilaporkan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persepsi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6707CAEA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Globalisasi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melanda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dunia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berkembangnya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pasar modal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menembus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batas-batas wilayah negara.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Globalisasi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pasar modal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ditunjukkan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derasnya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modal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para investor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lain. Ini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fenomena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positif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meningkatkan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efisiensi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>penggunaan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Tetapi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standard 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praktik-praktik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masingmasing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negara, 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interpretasi</w:t>
      </w:r>
      <w:proofErr w:type="spellEnd"/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disusun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sulit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dilaksanakan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investor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yang lain.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Akibatnya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investor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enggan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menganalisa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lain,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sehingga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alokasi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lingkup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tidak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efiesien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310058C3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bertambah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kompleknya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substansi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perlu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dilaporkan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uang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masingmasing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berubah-ubahnya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kurs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valuta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Menyusun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konsolidasian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negeri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memerhatikan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kurs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uang;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pelunasan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utang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dagang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valuta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asing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dapat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menimbulkan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keuntungan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kerugian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Permasalahan-permasalahan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menyangkut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bagaimana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menyusun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terkait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operasi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batas. </w:t>
      </w:r>
    </w:p>
    <w:p w14:paraId="7559FDF0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samping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globalisasi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semakin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kompleksnya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operasi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Hal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masing-masing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sebuah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yurisdiksi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politik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ekonomi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lingkungan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sosialnya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Tarif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</w:t>
      </w:r>
      <w:proofErr w:type="spellEnd"/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yang lain,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misalnya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menyebabkan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mempertimbangkannya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penentuan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harga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transfer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batas. Ini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berdimensi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186FDCDF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Jadi,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mencakup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berdimensi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Ini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berarti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bahwa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bukan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tipe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tersendiri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Serupa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pengertian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sektor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publik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yang juga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mencakup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diterapkan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institusi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layanan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publik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16791415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pemakai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eksternal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Dalam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dituntut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mampu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melaporkan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lintas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batas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menyusun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konsolidasian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sejumlah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entitas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yuridis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formal masing-masing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berdiri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sendiri-sendiri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Dalam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dimensi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kepada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pihak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luar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menjadi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bertambah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kompleks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Penyebabnya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:</w:t>
      </w:r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1) Nilai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uang masing-masing negara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berbeda-beda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2)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digunakan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masing-</w:t>
      </w: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lastRenderedPageBreak/>
        <w:t xml:space="preserve">masing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entitas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bisnis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berada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berbagai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atau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yurisdiksi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berbeda-beda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 </w:t>
      </w:r>
    </w:p>
    <w:p w14:paraId="3E041E87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penyediaan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informasi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untuk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membantu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mengoperasikan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rangka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mencapai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tujuan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ditetapkan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Terutama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pencari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laba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mamajemen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berfokus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upaya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efisiensi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1)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Pemanfaatan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maksimal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fasilitas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perusahaan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2)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Minimisasi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Pemanfaatan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aktiva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dimensi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prinsipnya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sama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pemanfaatan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dimensi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yaitu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pemanfaatan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kapasitas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menganggur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Sedangkan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minimisasi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timbul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karena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perbedaan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tariff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antarnegara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Upaya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minimisasi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pajak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dipersulit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oleh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faktor-faktor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lain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berbeda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antar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negara. </w:t>
      </w:r>
    </w:p>
    <w:p w14:paraId="3F140406" w14:textId="77777777" w:rsidR="002919E8" w:rsidRPr="002919E8" w:rsidRDefault="002919E8" w:rsidP="002919E8">
      <w:pPr>
        <w:spacing w:after="120"/>
        <w:ind w:left="632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</w:p>
    <w:p w14:paraId="7DEB31FE" w14:textId="77777777" w:rsidR="002919E8" w:rsidRPr="002919E8" w:rsidRDefault="002919E8" w:rsidP="002919E8">
      <w:pPr>
        <w:keepNext/>
        <w:keepLines/>
        <w:spacing w:after="112"/>
        <w:ind w:left="1002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Lingkup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>Organisasinya</w:t>
      </w:r>
      <w:proofErr w:type="spellEnd"/>
      <w:r w:rsidRPr="002919E8"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  <w:t xml:space="preserve">  </w:t>
      </w:r>
    </w:p>
    <w:p w14:paraId="42E9D8FB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Mempelajari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mempelajari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tentang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bagaimana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mengukur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mendiklos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transaksi-transaksi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serta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bagaimana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mengaudit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proofErr w:type="gram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pengukuran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 dan</w:t>
      </w:r>
      <w:proofErr w:type="gram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disklosur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tersebut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adalah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mempunyai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perspektif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Dalam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perspektif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internasional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keragaman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yurisdiksi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problem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,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diupayakan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solusinya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Sedangkan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keragaman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yuridiksi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merupakan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kenyataan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harus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diterima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</w:p>
    <w:p w14:paraId="2035EAD4" w14:textId="77777777" w:rsidR="002919E8" w:rsidRPr="002919E8" w:rsidRDefault="002919E8" w:rsidP="002919E8">
      <w:pPr>
        <w:spacing w:after="4" w:line="367" w:lineRule="auto"/>
        <w:ind w:left="992" w:firstLine="634"/>
        <w:jc w:val="both"/>
        <w:rPr>
          <w:rFonts w:ascii="Times New Roman" w:eastAsia="Times New Roman" w:hAnsi="Times New Roman" w:cs="Times New Roman"/>
          <w:color w:val="000000"/>
          <w:sz w:val="24"/>
          <w:lang w:eastAsia="en-ID"/>
        </w:rPr>
      </w:pP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Pembahasan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menyangkut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termasuk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;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sementara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pembahasan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berkenaan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dengan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keragaman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yurisdiksi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termasuk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bidang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maupun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manajemen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Diversitas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menimbulkan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kesulitan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dalam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menginterpretasi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menganalisis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laporan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keuangan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. Solusi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terhadap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masalah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ini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sudah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diupayakan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sejak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beberapa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dasawarsa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yang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lalu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dan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berujung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pada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upaya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konvergensi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akuntansi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</w:t>
      </w:r>
      <w:proofErr w:type="spellStart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>secara</w:t>
      </w:r>
      <w:proofErr w:type="spellEnd"/>
      <w:r w:rsidRPr="002919E8">
        <w:rPr>
          <w:rFonts w:ascii="Times New Roman" w:eastAsia="Times New Roman" w:hAnsi="Times New Roman" w:cs="Times New Roman"/>
          <w:color w:val="000000"/>
          <w:sz w:val="24"/>
          <w:lang w:eastAsia="en-ID"/>
        </w:rPr>
        <w:t xml:space="preserve"> global.  </w:t>
      </w:r>
    </w:p>
    <w:p w14:paraId="2199CE45" w14:textId="77777777" w:rsidR="004565E3" w:rsidRDefault="004565E3"/>
    <w:sectPr w:rsidR="00456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E8"/>
    <w:rsid w:val="000E75C2"/>
    <w:rsid w:val="002919E8"/>
    <w:rsid w:val="002C2A6E"/>
    <w:rsid w:val="004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3A10"/>
  <w15:chartTrackingRefBased/>
  <w15:docId w15:val="{16B8C4C6-B29D-4CE5-84D8-113EFF35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5068</Words>
  <Characters>28892</Characters>
  <Application>Microsoft Office Word</Application>
  <DocSecurity>0</DocSecurity>
  <Lines>240</Lines>
  <Paragraphs>67</Paragraphs>
  <ScaleCrop>false</ScaleCrop>
  <Company/>
  <LinksUpToDate>false</LinksUpToDate>
  <CharactersWithSpaces>33893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Sarah</dc:creator>
  <cp:keywords/>
  <dc:description/>
  <cp:lastModifiedBy>Siti Sarah</cp:lastModifiedBy>
  <cp:revision>1</cp:revision>
  <dcterms:created xsi:type="dcterms:W3CDTF">2024-09-26T04:02:00Z</dcterms:created>
  <dcterms:modified xsi:type="dcterms:W3CDTF">2024-09-26T04:04:00Z</dcterms:modified>
</cp:coreProperties>
</file>